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104.png" ContentType="image/png"/>
  <Override PartName="/word/media/rId21.png" ContentType="image/png"/>
  <Override PartName="/word/media/rId40.png" ContentType="image/png"/>
  <Override PartName="/word/media/rId67.png" ContentType="image/png"/>
  <Override PartName="/word/media/rId72.png" ContentType="image/png"/>
  <Override PartName="/word/media/rId62.png" ContentType="image/png"/>
  <Override PartName="/word/media/rId57.png" ContentType="image/png"/>
  <Override PartName="/word/media/rId84.png" ContentType="image/png"/>
  <Override PartName="/word/media/rId109.png" ContentType="image/png"/>
  <Override PartName="/word/media/rId32.png" ContentType="image/png"/>
  <Override PartName="/word/media/rId97.png" ContentType="image/png"/>
  <Override PartName="/word/media/rId91.png" ContentType="image/png"/>
  <Override PartName="/word/media/rId27.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PREPRINT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PREPRINT.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2024-03-12</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and</w:t>
      </w:r>
      <w:r>
        <w:t xml:space="preserve"> </w:t>
      </w:r>
      <w:r>
        <w:t xml:space="preserve">reduce</w:t>
      </w:r>
      <w:r>
        <w:t xml:space="preserve"> </w:t>
      </w:r>
      <w:r>
        <w:t xml:space="preserve">the</w:t>
      </w:r>
      <w:r>
        <w:t xml:space="preserve"> </w:t>
      </w:r>
      <w:r>
        <w:t xml:space="preserve">issue</w:t>
      </w:r>
      <w:r>
        <w:t xml:space="preserve"> </w:t>
      </w:r>
      <w:r>
        <w:t xml:space="preserve">of</w:t>
      </w:r>
      <w:r>
        <w:t xml:space="preserve"> </w:t>
      </w:r>
      <w:r>
        <w:t xml:space="preserve">mlixed</w:t>
      </w:r>
      <w:r>
        <w:t xml:space="preserve"> </w:t>
      </w:r>
      <w:r>
        <w:t xml:space="preserve">pixel,</w:t>
      </w:r>
      <w:r>
        <w:t xml:space="preserve"> </w:t>
      </w:r>
      <w:r>
        <w:t xml:space="preserve">drone</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heterogeneous</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This</w:t>
      </w:r>
      <w:r>
        <w:t xml:space="preserve"> </w:t>
      </w:r>
      <w:r>
        <w:t xml:space="preserve">work</w:t>
      </w:r>
      <w:r>
        <w:t xml:space="preserve"> </w:t>
      </w:r>
      <w:r>
        <w:t xml:space="preserve">showed</w:t>
      </w:r>
      <w:r>
        <w:t xml:space="preserve"> </w:t>
      </w:r>
      <w:r>
        <w:t xml:space="preserve">that</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pigmentary</w:t>
      </w:r>
      <w:r>
        <w:t xml:space="preserve"> </w:t>
      </w:r>
      <w:r>
        <w:t xml:space="preserve">composition,</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using</w:t>
      </w:r>
      <w:r>
        <w:t xml:space="preserve"> </w:t>
      </w:r>
      <w:r>
        <w:t xml:space="preserve">ten</w:t>
      </w:r>
      <w:r>
        <w:t xml:space="preserve"> </w:t>
      </w:r>
      <w:r>
        <w:t xml:space="preserve">bands</w:t>
      </w:r>
      <w:r>
        <w:t xml:space="preserve"> </w:t>
      </w:r>
      <w:r>
        <w:t xml:space="preserve">multispectral</w:t>
      </w:r>
      <w:r>
        <w:t xml:space="preserve"> </w:t>
      </w:r>
      <w:r>
        <w:t xml:space="preserve">sensor.</w:t>
      </w:r>
      <w:r>
        <w:t xml:space="preserve"> </w:t>
      </w:r>
      <w:r>
        <w:t xml:space="preserve">The</w:t>
      </w:r>
      <w:r>
        <w:t xml:space="preserve"> </w:t>
      </w:r>
      <w:r>
        <w:t xml:space="preserve">algorithm</w:t>
      </w:r>
      <w:r>
        <w:t xml:space="preserve"> </w:t>
      </w:r>
      <w:r>
        <w:t xml:space="preserve">should</w:t>
      </w:r>
      <w:r>
        <w:t xml:space="preserve"> </w:t>
      </w:r>
      <w:r>
        <w:t xml:space="preserve">now</w:t>
      </w:r>
      <w:r>
        <w:t xml:space="preserve"> </w:t>
      </w:r>
      <w:r>
        <w:t xml:space="preserve">be</w:t>
      </w:r>
      <w:r>
        <w:t xml:space="preserve"> </w:t>
      </w:r>
      <w:r>
        <w:t xml:space="preserve">adapted</w:t>
      </w:r>
      <w:r>
        <w:t xml:space="preserve"> </w:t>
      </w:r>
      <w:r>
        <w:t xml:space="preserve">for</w:t>
      </w:r>
      <w:r>
        <w:t xml:space="preserve"> </w:t>
      </w:r>
      <w:r>
        <w:t xml:space="preserve">Sentinel-2</w:t>
      </w:r>
      <w:r>
        <w:t xml:space="preserve"> </w:t>
      </w:r>
      <w:r>
        <w:t xml:space="preserve">to</w:t>
      </w:r>
      <w:r>
        <w:t xml:space="preserve"> </w:t>
      </w:r>
      <w:r>
        <w:t xml:space="preserve">see</w:t>
      </w:r>
      <w:r>
        <w:t xml:space="preserve"> </w:t>
      </w:r>
      <w:r>
        <w:t xml:space="preserve">if</w:t>
      </w:r>
      <w:r>
        <w:t xml:space="preserve"> </w:t>
      </w:r>
      <w:r>
        <w:t xml:space="preserve">this</w:t>
      </w:r>
      <w:r>
        <w:t xml:space="preserve"> </w:t>
      </w:r>
      <w:r>
        <w:t xml:space="preserve">discrimination</w:t>
      </w:r>
      <w:r>
        <w:t xml:space="preserve"> </w:t>
      </w:r>
      <w:r>
        <w:t xml:space="preserve">is</w:t>
      </w:r>
      <w:r>
        <w:t xml:space="preserve"> </w:t>
      </w:r>
      <w:r>
        <w:t xml:space="preserve">still</w:t>
      </w:r>
      <w:r>
        <w:t xml:space="preserve"> </w:t>
      </w:r>
      <w:r>
        <w:t xml:space="preserve">operational</w:t>
      </w:r>
      <w:r>
        <w:t xml:space="preserve"> </w:t>
      </w:r>
      <w:r>
        <w:t xml:space="preserve">at</w:t>
      </w:r>
      <w:r>
        <w:t xml:space="preserve"> </w:t>
      </w:r>
      <w:r>
        <w:t xml:space="preserve">a</w:t>
      </w:r>
      <w:r>
        <w:t xml:space="preserve"> </w:t>
      </w:r>
      <w:r>
        <w:t xml:space="preserve">coarser</w:t>
      </w:r>
      <w:r>
        <w:t xml:space="preserve"> </w:t>
      </w:r>
      <w:r>
        <w:t xml:space="preserve">spatial</w:t>
      </w:r>
      <w:r>
        <w:t xml:space="preserve"> </w:t>
      </w:r>
      <w:r>
        <w:t xml:space="preserve">resolution.</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 ociated to excessive accumulation of green macroalgae, so-called green tides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 is limited by several constraints. Satellite missions with a high temporal resolution (e.g. daily MODIS observation) are limited by a coarse spatial resolution (&gt;100m). Missions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then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w:t>
      </w:r>
    </w:p>
    <w:p>
      <w:pPr>
        <w:pStyle w:val="BodyText"/>
      </w:pPr>
      <w:r>
        <w:t xml:space="preserve">Drones can potentially fill the gaps left by satellite RS and in situ measurements, due to their ability to provide spatially-explicit observations at very high spatial resolutions (pixel size from cm to mm)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case studies are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with a particular focus on discriminating Magnoliopsida and Chlorophyceae (Seagrass and Green Algae respectively). Ten drone flights were performed over soft-bottom intertidal areas along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6"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900m wide channel. A total of 53 small islands are scattered across the gulf leading to 250 km of shorelines. Patchy seagrass meadows can be found on a lot of these islands. Within the Gulf of Morbihan we chose two sites : one located on one of the gulf’s islands (Arz island) and the other located in the southern part of the gulf (Duer). Two other sites were located in Bourgneuf Bay, France (46.9849°N, 2.1488°W). This bay is 340 km²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contained a monospecific bed of</w:t>
      </w:r>
      <w:r>
        <w:t xml:space="preserve"> </w:t>
      </w:r>
      <w:r>
        <w:rPr>
          <w:iCs/>
          <w:i/>
        </w:rPr>
        <w:t xml:space="preserve">Nanozostera noltei</w:t>
      </w:r>
      <w:r>
        <w:t xml:space="preserve"> </w:t>
      </w:r>
      <w:r>
        <w:t xml:space="preserve">(dwarf eelgrass) with very little mixing with other macrophytes. Three sites were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was a mudflat located in a tributary river of the lagoon whereas the two other sites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represent intertidal areas.</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from 444 nm (blue) to 840 nm (near infrared, NIR).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270300"/>
                  <wp:effectExtent b="0" l="0" r="0" t="0"/>
                  <wp:docPr descr="" title="" id="28" name="Picture"/>
                  <a:graphic>
                    <a:graphicData uri="http://schemas.openxmlformats.org/drawingml/2006/picture">
                      <pic:pic>
                        <pic:nvPicPr>
                          <pic:cNvPr descr="Figures/table_flights.png" id="29" name="Picture"/>
                          <pic:cNvPicPr>
                            <a:picLocks noChangeArrowheads="1" noChangeAspect="1"/>
                          </pic:cNvPicPr>
                        </pic:nvPicPr>
                        <pic:blipFill>
                          <a:blip r:embed="rId27"/>
                          <a:stretch>
                            <a:fillRect/>
                          </a:stretch>
                        </pic:blipFill>
                        <pic:spPr bwMode="auto">
                          <a:xfrm>
                            <a:off x="0" y="0"/>
                            <a:ext cx="5334000" cy="227030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 m² assessing the presence or absence of five key taxonomic classes of intertidal vegetation : Bacillariophyceae (Unicellular benthic diatoms forming biofilms at the sediment surface during low tide), Phaeophyceae (brown macroalgae), Magnoliopsida (seagrass), Chlorophyceae (green macroalgae) and Rhodophyceae (red macroalgae) (</w:t>
      </w:r>
      <w:hyperlink w:anchor="fig-vegetation">
        <w:r>
          <w:rPr>
            <w:rStyle w:val="Hyperlink"/>
          </w:rPr>
          <w:t xml:space="preserve">Figure 2</w:t>
        </w:r>
      </w:hyperlink>
      <w:r>
        <w:t xml:space="preserve">).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quadrats, the hyperspectral reflectance signatures of each vegetation class was measured using an ASD FieldSpec HandHeld 2 spectroradiometer, which acquires reflectance between 325 and 1075 nm, with 1 nm of spectral resolution. Hyperspectral signatures from quadrats serve dual purposes: they validate the radiometric calibration of drone data and contribute to error reduction in photo interpretation. The workflow developed in this study is presented in</w:t>
      </w:r>
      <w:r>
        <w:t xml:space="preserve"> </w:t>
      </w:r>
      <w:hyperlink w:anchor="fig-workflow">
        <w:r>
          <w:rPr>
            <w:rStyle w:val="Hyperlink"/>
          </w:rPr>
          <w:t xml:space="preserve">Figure 3</w:t>
        </w:r>
      </w:hyperlink>
      <w:r>
        <w:t xml:space="preserve">.</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Low altitude drone flights produce ortho-images with a very high spatial resolution (8 mm per pixel), making it efficient to visually distinguish between the various types of vegetation. High altitude fights on the other hand allow to cover large areas and produced images with a pixel size of 80 mm (</w:t>
      </w:r>
      <w:hyperlink w:anchor="tbl-flights">
        <w:r>
          <w:rPr>
            <w:rStyle w:val="Hyperlink"/>
          </w:rPr>
          <w:t xml:space="preserve">Table 1</w:t>
        </w:r>
      </w:hyperlink>
      <w:r>
        <w:t xml:space="preserve">).</w:t>
      </w:r>
    </w:p>
    <w:bookmarkEnd w:id="39"/>
    <w:bookmarkStart w:id="53" w:name="general-workflow"/>
    <w:p>
      <w:pPr>
        <w:pStyle w:val="Heading2"/>
      </w:pPr>
      <w:r>
        <w:t xml:space="preserve">2.4 General Workflow</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51" w:name="neural-network-model-building"/>
    <w:p>
      <w:pPr>
        <w:pStyle w:val="Heading3"/>
      </w:pPr>
      <w:r>
        <w:t xml:space="preserve">2.4.1 Neural Network model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with 2 hidden layers.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allowied to avoid spectral sub-pixel mixing and to accurately differentiate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validation"/>
    <w:p>
      <w:pPr>
        <w:pStyle w:val="Heading3"/>
      </w:pPr>
      <w:r>
        <w:t xml:space="preserve">2.4.2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including.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52"/>
    <w:bookmarkEnd w:id="53"/>
    <w:bookmarkStart w:id="54" w:name="variable-importance-plots-vip"/>
    <w:p>
      <w:pPr>
        <w:pStyle w:val="Heading2"/>
      </w:pPr>
      <w:r>
        <w:t xml:space="preserve">2.5 Variable Importance Plots (VIP)</w:t>
      </w:r>
    </w:p>
    <w:p>
      <w:pPr>
        <w:pStyle w:val="FirstParagraph"/>
      </w:pPr>
      <w:r>
        <w:t xml:space="preserve">Variable Importance Plots (VIP) serve as a method to identify which predictors are important for predicting a specific class. This is achieved by repeatedly predicting the same dataset while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4"/>
    <w:bookmarkStart w:id="55" w:name="X9ed14f3ae1aa0bfb80a0994102bf58766751137"/>
    <w:p>
      <w:pPr>
        <w:pStyle w:val="Heading2"/>
      </w:pPr>
      <w:r>
        <w:t xml:space="preserve">2.6 Impact of the percent cover on the prediction</w:t>
      </w:r>
    </w:p>
    <w:p>
      <w:pPr>
        <w:pStyle w:val="FirstParagraph"/>
      </w:pPr>
      <w:r>
        <w:t xml:space="preserve">The key aspect of the workflow adopted in the present study is the mapping of specific areas at two different altitudes (12m and 120m), resulting in two distinct resolutions for the same area (8mm and 80mm). The predictions made on the high-resolution flight can be used to estimate the percent cover of each vegetation class for every pixel of the lower resolution flight. Consequently, for each pixel of the high-altitude flights, percent covers of each vegetation class were obtained, and a kernel density plot was generated. This plot provides a visual representation of the behavior of the model in different vegetation percent cover scenarios.</w:t>
      </w:r>
    </w:p>
    <w:bookmarkEnd w:id="55"/>
    <w:bookmarkEnd w:id="56"/>
    <w:bookmarkStart w:id="103" w:name="results"/>
    <w:p>
      <w:pPr>
        <w:pStyle w:val="Heading1"/>
      </w:pPr>
      <w:r>
        <w:t xml:space="preserve">3. Results</w:t>
      </w:r>
    </w:p>
    <w:bookmarkStart w:id="77" w:name="classification"/>
    <w:p>
      <w:pPr>
        <w:pStyle w:val="Heading2"/>
      </w:pPr>
      <w:r>
        <w:t xml:space="preserve">3.1 Classification</w:t>
      </w:r>
    </w:p>
    <w:p>
      <w:pPr>
        <w:pStyle w:val="FirstParagraph"/>
      </w:pPr>
      <w:r>
        <w:t xml:space="preserve">A total of nine prediction maps corresponding to the nine drone flights were obtained. Each prediction map is associated with a probability map, indicating the probability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sediment surface. Although the seagrass bed was solely composed of</w:t>
      </w:r>
      <w:r>
        <w:t xml:space="preserve"> </w:t>
      </w:r>
      <w:r>
        <w:rPr>
          <w:iCs/>
          <w:i/>
        </w:rPr>
        <w:t xml:space="preserve">Nanozostera noltei</w:t>
      </w:r>
      <w:r>
        <w:t xml:space="preserve">, various colors of this could be observed from dark green (corresponding to healthy leaves) to whitish/brown (when leaves were discolored having lost their pigmentation). Regardless of color, the meadow was accurately predicted as Magnoliopsida by the model.</w:t>
      </w:r>
    </w:p>
    <w:bookmarkStart w:id="61" w:name="cell-fig-GafLow"/>
    <w:tbl>
      <w:tblPr>
        <w:tblStyle w:val="Table"/>
        <w:tblW w:type="pct" w:w="5000"/>
        <w:tblLook w:firstRow="0" w:lastRow="0" w:firstColumn="0" w:lastColumn="0" w:noHBand="0" w:noVBand="0" w:val="0000"/>
        <w:jc w:val="start"/>
        <w:tblLayout w:type="fixed"/>
      </w:tblPr>
      <w:tblGrid>
        <w:gridCol w:w="7920"/>
      </w:tblGrid>
      <w:tr>
        <w:tc>
          <w:tcPr/>
          <w:bookmarkStart w:id="60" w:name="fig-GafLow"/>
          <w:p>
            <w:pPr>
              <w:pStyle w:val="Compact"/>
              <w:jc w:val="center"/>
            </w:pPr>
            <w:r>
              <w:drawing>
                <wp:inline>
                  <wp:extent cx="4697385" cy="2467962"/>
                  <wp:effectExtent b="0" l="0" r="0" t="0"/>
                  <wp:docPr descr="" title="" id="58" name="Picture"/>
                  <a:graphic>
                    <a:graphicData uri="http://schemas.openxmlformats.org/drawingml/2006/picture">
                      <pic:pic>
                        <pic:nvPicPr>
                          <pic:cNvPr descr="./Figures/Low_res/Maps%20Pred/FigX-Gaf_Low_Pred.png" id="59" name="Picture"/>
                          <pic:cNvPicPr>
                            <a:picLocks noChangeArrowheads="1" noChangeAspect="1"/>
                          </pic:cNvPicPr>
                        </pic:nvPicPr>
                        <pic:blipFill>
                          <a:blip r:embed="rId57"/>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was 3000m² with a resolution of 8 mm per pixel. Background colors indicate intertidal area (Light Green) and land area (Light Grey). The zoom covers an area equivalent to a 10-meter Sentinel-2 pixel size.</w:t>
            </w:r>
          </w:p>
          <w:bookmarkEnd w:id="60"/>
        </w:tc>
      </w:tr>
    </w:tbl>
    <w:bookmarkEnd w:id="61"/>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Most of the intertidal area was classified as Magnoliopsida by the model, including seagrass patches with discolored leaves. Only a few pixels were classified as Chlorophyceae at this scale. Furthermore, the area that was classified as Bacillariophyceae in the low-altitude flight remained mostly classified as such in the high-altitude flight, though some pixels were classified as Magnoliopsida. Patches of Rhodophyceae were correctly classified. In the nothern part of the scene, near the land limit, patches of the schorre angiosperm</w:t>
      </w:r>
      <w:r>
        <w:t xml:space="preserve"> </w:t>
      </w:r>
      <w:r>
        <w:rPr>
          <w:iCs/>
          <w:i/>
        </w:rPr>
        <w:t xml:space="preserve">Spartina sp.</w:t>
      </w:r>
      <w:r>
        <w:t xml:space="preserve"> </w:t>
      </w:r>
      <w:r>
        <w:t xml:space="preserve">were misclassified, either as Magnoliopsida or as Phaeophyceae.</w:t>
      </w:r>
    </w:p>
    <w:bookmarkStart w:id="66" w:name="cell-fig-GafHigh"/>
    <w:tbl>
      <w:tblPr>
        <w:tblStyle w:val="Table"/>
        <w:tblW w:type="pct" w:w="5000"/>
        <w:tblLook w:firstRow="0" w:lastRow="0" w:firstColumn="0" w:lastColumn="0" w:noHBand="0" w:noVBand="0" w:val="0000"/>
        <w:jc w:val="start"/>
        <w:tblLayout w:type="fixed"/>
      </w:tblPr>
      <w:tblGrid>
        <w:gridCol w:w="7920"/>
      </w:tblGrid>
      <w:tr>
        <w:tc>
          <w:tcPr/>
          <w:bookmarkStart w:id="65" w:name="fig-GafHigh"/>
          <w:p>
            <w:pPr>
              <w:pStyle w:val="Compact"/>
              <w:jc w:val="center"/>
            </w:pPr>
            <w:r>
              <w:drawing>
                <wp:inline>
                  <wp:extent cx="5334000" cy="4535148"/>
                  <wp:effectExtent b="0" l="0" r="0" t="0"/>
                  <wp:docPr descr="" title="" id="63" name="Picture"/>
                  <a:graphic>
                    <a:graphicData uri="http://schemas.openxmlformats.org/drawingml/2006/picture">
                      <pic:pic>
                        <pic:nvPicPr>
                          <pic:cNvPr descr="./Figures/Low_res/Maps%20Pred/FigX-Gaf_High_Pred.png" id="64" name="Picture"/>
                          <pic:cNvPicPr>
                            <a:picLocks noChangeArrowheads="1" noChangeAspect="1"/>
                          </pic:cNvPicPr>
                        </pic:nvPicPr>
                        <pic:blipFill>
                          <a:blip r:embed="rId62"/>
                          <a:stretch>
                            <a:fillRect/>
                          </a:stretch>
                        </pic:blipFill>
                        <pic:spPr bwMode="auto">
                          <a:xfrm>
                            <a:off x="0" y="0"/>
                            <a:ext cx="5334000" cy="45351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polygon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5"/>
        </w:tc>
      </w:tr>
    </w:tbl>
    <w:bookmarkEnd w:id="66"/>
    <w:p>
      <w:pPr>
        <w:pStyle w:val="BodyText"/>
      </w:pPr>
      <w:r>
        <w:t xml:space="preserve">The high altitude flight acquired over the inner lagoon of the Ria de Aveiro was the largest of all flights, covering almost 1.5 km² (</w:t>
      </w:r>
      <w:hyperlink w:anchor="fig-Boat">
        <w:r>
          <w:rPr>
            <w:rStyle w:val="Hyperlink"/>
          </w:rPr>
          <w:t xml:space="preserve">Figure 6</w:t>
        </w:r>
      </w:hyperlink>
      <w:r>
        <w:t xml:space="preserve">). The site was dominated by seagrass and the red macroalgae</w:t>
      </w:r>
      <w:r>
        <w:t xml:space="preserve"> </w:t>
      </w:r>
      <w:r>
        <w:rPr>
          <w:iCs/>
          <w:i/>
        </w:rPr>
        <w:t xml:space="preserve">Gracilaria vermicullophyla</w:t>
      </w:r>
      <w:r>
        <w:t xml:space="preserve">. The classification provided consistent results, with a patchy seagrass meadow mixed with red macroalgae on the eastern part of the scene. As shown in the zoom (</w:t>
      </w:r>
      <w:hyperlink w:anchor="fig-Boat">
        <w:r>
          <w:rPr>
            <w:rStyle w:val="Hyperlink"/>
          </w:rPr>
          <w:t xml:space="preserve">Figure 6</w:t>
        </w:r>
      </w:hyperlink>
      <w:r>
        <w:t xml:space="preserve">), the edges of the meadow were colonised by green macroalgae</w:t>
      </w:r>
    </w:p>
    <w:bookmarkStart w:id="71" w:name="cell-fig-Boat"/>
    <w:tbl>
      <w:tblPr>
        <w:tblStyle w:val="Table"/>
        <w:tblW w:type="pct" w:w="5000"/>
        <w:tblLook w:firstRow="0" w:lastRow="0" w:firstColumn="0" w:lastColumn="0" w:noHBand="0" w:noVBand="0" w:val="0000"/>
        <w:jc w:val="start"/>
        <w:tblLayout w:type="fixed"/>
      </w:tblPr>
      <w:tblGrid>
        <w:gridCol w:w="7920"/>
      </w:tblGrid>
      <w:tr>
        <w:tc>
          <w:tcPr/>
          <w:bookmarkStart w:id="70" w:name="fig-Boat"/>
          <w:p>
            <w:pPr>
              <w:pStyle w:val="Compact"/>
              <w:jc w:val="center"/>
            </w:pPr>
            <w:r>
              <w:drawing>
                <wp:inline>
                  <wp:extent cx="2706501" cy="3425177"/>
                  <wp:effectExtent b="0" l="0" r="0" t="0"/>
                  <wp:docPr descr="" title="" id="68" name="Picture"/>
                  <a:graphic>
                    <a:graphicData uri="http://schemas.openxmlformats.org/drawingml/2006/picture">
                      <pic:pic>
                        <pic:nvPicPr>
                          <pic:cNvPr descr="./Figures/Low_res/Maps%20Pred/FigX-Boat_Pred.png" id="69" name="Picture"/>
                          <pic:cNvPicPr>
                            <a:picLocks noChangeArrowheads="1" noChangeAspect="1"/>
                          </pic:cNvPicPr>
                        </pic:nvPicPr>
                        <pic:blipFill>
                          <a:blip r:embed="rId67"/>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was about 1.5 km² with a resolution of 80 mm per pixel. Background colors indicates intertidal area (Light Green), land area (Light Grey) and water (Light Blue). Each cover an area equivalent to a 10-meter Sentinel-2 pixel size.</w:t>
            </w:r>
          </w:p>
          <w:bookmarkEnd w:id="70"/>
        </w:tc>
      </w:tr>
    </w:tbl>
    <w:bookmarkEnd w:id="71"/>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for the order Fucales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6" w:name="cell-fig-Dike"/>
    <w:tbl>
      <w:tblPr>
        <w:tblStyle w:val="Table"/>
        <w:tblW w:type="pct" w:w="5000"/>
        <w:tblLook w:firstRow="0" w:lastRow="0" w:firstColumn="0" w:lastColumn="0" w:noHBand="0" w:noVBand="0" w:val="0000"/>
        <w:jc w:val="start"/>
        <w:tblLayout w:type="fixed"/>
      </w:tblPr>
      <w:tblGrid>
        <w:gridCol w:w="7920"/>
      </w:tblGrid>
      <w:tr>
        <w:tc>
          <w:tcPr/>
          <w:bookmarkStart w:id="75" w:name="fig-Dike"/>
          <w:p>
            <w:pPr>
              <w:pStyle w:val="Compact"/>
              <w:jc w:val="center"/>
            </w:pPr>
            <w:r>
              <w:drawing>
                <wp:inline>
                  <wp:extent cx="3302849" cy="2752374"/>
                  <wp:effectExtent b="0" l="0" r="0" t="0"/>
                  <wp:docPr descr="" title="" id="73" name="Picture"/>
                  <a:graphic>
                    <a:graphicData uri="http://schemas.openxmlformats.org/drawingml/2006/picture">
                      <pic:pic>
                        <pic:nvPicPr>
                          <pic:cNvPr descr="./Figures/Low_res/Maps%20Pred/FigX-Dike_Pred.png" id="74" name="Picture"/>
                          <pic:cNvPicPr>
                            <a:picLocks noChangeArrowheads="1" noChangeAspect="1"/>
                          </pic:cNvPicPr>
                        </pic:nvPicPr>
                        <pic:blipFill>
                          <a:blip r:embed="rId72"/>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Northern part of Noirmoutier Island, France. The total extent of this flight was about 28 000 m² with a resolution of 80 mm per pixel. Background colors indicate intertidal area (Light Green) and land area (Light Grey). The zoom covers an area equivalent to a 10-meter Sentinel-2 pixel size.</w:t>
            </w:r>
          </w:p>
          <w:bookmarkEnd w:id="75"/>
        </w:tc>
      </w:tr>
    </w:tbl>
    <w:bookmarkEnd w:id="76"/>
    <w:bookmarkEnd w:id="77"/>
    <w:bookmarkStart w:id="90" w:name="validation-1"/>
    <w:p>
      <w:pPr>
        <w:pStyle w:val="Heading2"/>
      </w:pPr>
      <w:r>
        <w:t xml:space="preserve">3.2 Validation</w:t>
      </w:r>
    </w:p>
    <w:bookmarkStart w:id="83" w:name="Xf1ee785dcb5d546ca07f6c913dc8f3105a0e5cf"/>
    <w:p>
      <w:pPr>
        <w:pStyle w:val="Heading3"/>
      </w:pPr>
      <w:r>
        <w:t xml:space="preserve">3.2.1 Reflectance comparison between the two different altitudes</w:t>
      </w:r>
    </w:p>
    <w:bookmarkStart w:id="82" w:name="cell-fig-CompareRef"/>
    <w:tbl>
      <w:tblPr>
        <w:tblStyle w:val="Table"/>
        <w:tblW w:type="pct" w:w="5000"/>
        <w:tblLook w:firstRow="0" w:lastRow="0" w:firstColumn="0" w:lastColumn="0" w:noHBand="0" w:noVBand="0" w:val="0000"/>
        <w:jc w:val="start"/>
        <w:tblLayout w:type="fixed"/>
      </w:tblPr>
      <w:tblGrid>
        <w:gridCol w:w="7920"/>
      </w:tblGrid>
      <w:tr>
        <w:tc>
          <w:tcPr/>
          <w:bookmarkStart w:id="81" w:name="fig-CompareRef"/>
          <w:p>
            <w:pPr>
              <w:pStyle w:val="Compact"/>
              <w:jc w:val="center"/>
            </w:pPr>
            <w:r>
              <w:drawing>
                <wp:inline>
                  <wp:extent cx="5334000" cy="2290564"/>
                  <wp:effectExtent b="0" l="0" r="0" t="0"/>
                  <wp:docPr descr="" title="" id="79" name="Picture"/>
                  <a:graphic>
                    <a:graphicData uri="http://schemas.openxmlformats.org/drawingml/2006/picture">
                      <pic:pic>
                        <pic:nvPicPr>
                          <pic:cNvPr descr="./Figures/High_res/Compare_reflectance_both.png" id="80" name="Picture"/>
                          <pic:cNvPicPr>
                            <a:picLocks noChangeArrowheads="1" noChangeAspect="1"/>
                          </pic:cNvPicPr>
                        </pic:nvPicPr>
                        <pic:blipFill>
                          <a:blip r:embed="rId78"/>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81"/>
        </w:tc>
      </w:tr>
    </w:tbl>
    <w:bookmarkEnd w:id="82"/>
    <w:p>
      <w:pPr>
        <w:pStyle w:val="BodyText"/>
      </w:pPr>
      <w:r>
        <w:t xml:space="preserve">In this study, a key innovation lies in the utilization of two different altitudes (12m and 120m) for constructing the neural network model. The lower altitude flights (8mm spatial resolution) enabled precise selection of pure pixels representing the classes used in the neural network model. This methodology implies a consistency between the reflectance of both altitude.</w:t>
      </w:r>
      <w:r>
        <w:t xml:space="preserve"> </w:t>
      </w:r>
      <w:hyperlink w:anchor="fig-CompareRef">
        <w:r>
          <w:rPr>
            <w:rStyle w:val="Hyperlink"/>
          </w:rPr>
          <w:t xml:space="preserve">Figure 8</w:t>
        </w:r>
      </w:hyperlink>
      <w:r>
        <w:t xml:space="preserve"> </w:t>
      </w:r>
      <w:r>
        <w:t xml:space="preserve">depicts the relationship between reflectance from a low-altitude flight and a high-altitude flight conducted over the same area. Overall there was a good agreement between the two altitudes. There was however a slight underestimation for raw reflectance values in the high-altitude flight, particularly for higher values (</w:t>
      </w:r>
      <w:hyperlink w:anchor="fig-CompareRef">
        <w:r>
          <w:rPr>
            <w:rStyle w:val="Hyperlink"/>
          </w:rPr>
          <w:t xml:space="preserve">Figure 8</w:t>
        </w:r>
      </w:hyperlink>
      <w:r>
        <w:t xml:space="preserve"> </w:t>
      </w:r>
      <w:r>
        <w:t xml:space="preserve">A). Since both flights were conducted over vegetation areas, the highest reflectance values correspond to the infrared part of the spectrum. This different is not present anymore when reflectance values of both flights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8</w:t>
        </w:r>
      </w:hyperlink>
      <w:r>
        <w:t xml:space="preserve"> </w:t>
      </w:r>
      <w:r>
        <w:t xml:space="preserve">B).</w:t>
      </w:r>
    </w:p>
    <w:bookmarkEnd w:id="83"/>
    <w:bookmarkStart w:id="89" w:name="neural-network-classification-validation"/>
    <w:p>
      <w:pPr>
        <w:pStyle w:val="Heading3"/>
      </w:pPr>
      <w:r>
        <w:t xml:space="preserve">3.2.2 Neural network classification validation</w:t>
      </w:r>
    </w:p>
    <w:bookmarkStart w:id="88" w:name="cell-fig-Validation"/>
    <w:tbl>
      <w:tblPr>
        <w:tblStyle w:val="Table"/>
        <w:tblW w:type="pct" w:w="5000"/>
        <w:tblLook w:firstRow="0" w:lastRow="0" w:firstColumn="0" w:lastColumn="0" w:noHBand="0" w:noVBand="0" w:val="0000"/>
        <w:jc w:val="start"/>
        <w:tblLayout w:type="fixed"/>
      </w:tblPr>
      <w:tblGrid>
        <w:gridCol w:w="7920"/>
      </w:tblGrid>
      <w:tr>
        <w:tc>
          <w:tcPr/>
          <w:bookmarkStart w:id="87" w:name="fig-Validation"/>
          <w:p>
            <w:pPr>
              <w:pStyle w:val="Compact"/>
              <w:jc w:val="center"/>
            </w:pPr>
            <w:r>
              <w:drawing>
                <wp:inline>
                  <wp:extent cx="4731026" cy="3104066"/>
                  <wp:effectExtent b="0" l="0" r="0" t="0"/>
                  <wp:docPr descr="" title="" id="85" name="Picture"/>
                  <a:graphic>
                    <a:graphicData uri="http://schemas.openxmlformats.org/drawingml/2006/picture">
                      <pic:pic>
                        <pic:nvPicPr>
                          <pic:cNvPr descr="./Figures/Low_res/Validation/ConfusionMatrixGlobal.png" id="86" name="Picture"/>
                          <pic:cNvPicPr>
                            <a:picLocks noChangeArrowheads="1" noChangeAspect="1"/>
                          </pic:cNvPicPr>
                        </pic:nvPicPr>
                        <pic:blipFill>
                          <a:blip r:embed="rId84"/>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7"/>
        </w:tc>
      </w:tr>
    </w:tbl>
    <w:bookmarkEnd w:id="88"/>
    <w:p>
      <w:pPr>
        <w:pStyle w:val="BodyText"/>
      </w:pPr>
      <w:r>
        <w:t xml:space="preserve">A total of 536,000 pixels were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9</w:t>
        </w:r>
      </w:hyperlink>
      <w:r>
        <w:t xml:space="preserve">). 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with Magnoliopsida and Sediment.</w:t>
      </w:r>
    </w:p>
    <w:bookmarkEnd w:id="89"/>
    <w:bookmarkEnd w:id="90"/>
    <w:bookmarkStart w:id="96" w:name="variable-importance"/>
    <w:p>
      <w:pPr>
        <w:pStyle w:val="Heading2"/>
      </w:pPr>
      <w:r>
        <w:t xml:space="preserve">3.3 Variable importance</w:t>
      </w:r>
    </w:p>
    <w:bookmarkStart w:id="95" w:name="cell-fig-VIP"/>
    <w:tbl>
      <w:tblPr>
        <w:tblStyle w:val="Table"/>
        <w:tblW w:type="pct" w:w="5000"/>
        <w:tblLook w:firstRow="0" w:lastRow="0" w:firstColumn="0" w:lastColumn="0" w:noHBand="0" w:noVBand="0" w:val="0000"/>
        <w:jc w:val="start"/>
        <w:tblLayout w:type="fixed"/>
      </w:tblPr>
      <w:tblGrid>
        <w:gridCol w:w="7920"/>
      </w:tblGrid>
      <w:tr>
        <w:tc>
          <w:tcPr/>
          <w:bookmarkStart w:id="94" w:name="fig-VIP"/>
          <w:p>
            <w:pPr>
              <w:pStyle w:val="Compact"/>
              <w:jc w:val="center"/>
            </w:pPr>
            <w:r>
              <w:drawing>
                <wp:inline>
                  <wp:extent cx="4721851" cy="3452701"/>
                  <wp:effectExtent b="0" l="0" r="0" t="0"/>
                  <wp:docPr descr="" title="" id="92" name="Picture"/>
                  <a:graphic>
                    <a:graphicData uri="http://schemas.openxmlformats.org/drawingml/2006/picture">
                      <pic:pic>
                        <pic:nvPicPr>
                          <pic:cNvPr descr="Figures/Low_res/VIP/Fig_VIP.png" id="93" name="Picture"/>
                          <pic:cNvPicPr>
                            <a:picLocks noChangeArrowheads="1" noChangeAspect="1"/>
                          </pic:cNvPicPr>
                        </pic:nvPicPr>
                        <pic:blipFill>
                          <a:blip r:embed="rId91"/>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bigger the slice, the more important the variable for prediction of each class. The right plot shows the drone raw and standardised reflectance spectra of each class. Each slice represents the VIP of both raw and standardised reflectance combined.</w:t>
            </w:r>
          </w:p>
          <w:bookmarkEnd w:id="94"/>
        </w:tc>
      </w:tr>
    </w:tbl>
    <w:bookmarkEnd w:id="95"/>
    <w:p>
      <w:pPr>
        <w:pStyle w:val="BodyText"/>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 The spectral bands at 444, 717 and 842 nm of the Micasense camera did not came out as important for any of the vegetation classes. The band at 531 nm was the only important predictor for the classifier to accurately predict Chlorophyceae. In fact, at this wavelength, the Chlorophyceae spectra have the highest reflectance among of all vegetation classes. The bands at 531 and 740 nm were the most important predictors for Phaeophyceae, corresponding to the lowest reflectance among all classes. Bands at 475 and 560 nm are the most important predictors for Bacillariophyceae and Rhodophyceae, respectively. Four predictors, ranging from the green (560 nm) to the RedEdge (705 nm) bands were important to accurately predict Magnoliopsida.</w:t>
      </w:r>
    </w:p>
    <w:bookmarkEnd w:id="96"/>
    <w:bookmarkStart w:id="102" w:name="X6a711a8597cc737f9b42c32ad76cef126d40d45"/>
    <w:p>
      <w:pPr>
        <w:pStyle w:val="Heading2"/>
      </w:pPr>
      <w:r>
        <w:t xml:space="preserve">3.4 Effect of the flight height on the prediction</w:t>
      </w:r>
    </w:p>
    <w:bookmarkStart w:id="101" w:name="cell-fig-upscaling"/>
    <w:tbl>
      <w:tblPr>
        <w:tblStyle w:val="Table"/>
        <w:tblW w:type="pct" w:w="5000"/>
        <w:tblLook w:firstRow="0" w:lastRow="0" w:firstColumn="0" w:lastColumn="0" w:noHBand="0" w:noVBand="0" w:val="0000"/>
        <w:jc w:val="start"/>
        <w:tblLayout w:type="fixed"/>
      </w:tblPr>
      <w:tblGrid>
        <w:gridCol w:w="7920"/>
      </w:tblGrid>
      <w:tr>
        <w:tc>
          <w:tcPr/>
          <w:bookmarkStart w:id="100" w:name="fig-upscaling"/>
          <w:p>
            <w:pPr>
              <w:pStyle w:val="Compact"/>
              <w:jc w:val="center"/>
            </w:pPr>
            <w:r>
              <w:drawing>
                <wp:inline>
                  <wp:extent cx="2547475" cy="3419060"/>
                  <wp:effectExtent b="0" l="0" r="0" t="0"/>
                  <wp:docPr descr="" title="" id="98" name="Picture"/>
                  <a:graphic>
                    <a:graphicData uri="http://schemas.openxmlformats.org/drawingml/2006/picture">
                      <pic:pic>
                        <pic:nvPicPr>
                          <pic:cNvPr descr="Figures/Low_res/Upscaling/density_vs_Proportion.png" id="99" name="Picture"/>
                          <pic:cNvPicPr>
                            <a:picLocks noChangeArrowheads="1" noChangeAspect="1"/>
                          </pic:cNvPicPr>
                        </pic:nvPicPr>
                        <pic:blipFill>
                          <a:blip r:embed="rId97"/>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 The vertical dashed line shows the 0.85 probability of the model. Everything on the right of this line has a probability higher then 0.85 and everything on the left of this line has a lower probability.</w:t>
            </w:r>
          </w:p>
          <w:bookmarkEnd w:id="100"/>
        </w:tc>
      </w:tr>
    </w:tbl>
    <w:bookmarkEnd w:id="101"/>
    <w:p>
      <w:pPr>
        <w:pStyle w:val="BodyText"/>
      </w:pPr>
      <w:r>
        <w:t xml:space="preserve">Using the very high resolution low altitude flight, we determined the minimal percent cover required to correctly a given class using the high altitude flight (</w:t>
      </w:r>
      <w:hyperlink w:anchor="fig-upscaling">
        <w:r>
          <w:rPr>
            <w:rStyle w:val="Hyperlink"/>
          </w:rPr>
          <w:t xml:space="preserve">Figure 11</w:t>
        </w:r>
      </w:hyperlink>
      <w:r>
        <w:t xml:space="preserve">). When the percent cover of the class was 100 %, coarser high-flight pixels are well classified for all the classes except for Bare Sediment, which was only well classified 80% of the time. This phenomenon is likely attributed to the time gap between the two flights, allowing for microphytobenthos migration, consequently altering the model’s classification from bare sediment to Bacillariophyceae. A percent cover of at least 80% was needed to have all the low resolution pixels well classified, with the exception of Magnoliopsida that needed a higher percent cover (&gt;90 %) to be well classified. Concerning the probability of each class, the highest percent cover was needed to confidently predict Bacillariophyceae. To predict Chlorophyceae with a confidence of 0.85, a percent cover of 93 % was needed, 90 % for Magnoliopsida, 92 % for Rhodophyceae and 97 % for Bacillariophyceae.</w:t>
      </w:r>
    </w:p>
    <w:bookmarkEnd w:id="102"/>
    <w:bookmarkEnd w:id="103"/>
    <w:bookmarkStart w:id="117" w:name="discussion"/>
    <w:p>
      <w:pPr>
        <w:pStyle w:val="Heading1"/>
      </w:pPr>
      <w:r>
        <w:t xml:space="preserve">4. Discussion</w:t>
      </w:r>
    </w:p>
    <w:bookmarkStart w:id="114" w:name="vegetation-discrimination"/>
    <w:p>
      <w:pPr>
        <w:pStyle w:val="Heading2"/>
      </w:pPr>
      <w:r>
        <w:t xml:space="preserve">4.1 Vegetation Discrimination</w:t>
      </w:r>
    </w:p>
    <w:bookmarkStart w:id="108" w:name="cell-fig-Pigm"/>
    <w:tbl>
      <w:tblPr>
        <w:tblStyle w:val="Table"/>
        <w:tblW w:type="pct" w:w="5000"/>
        <w:tblLook w:firstRow="0" w:lastRow="0" w:firstColumn="0" w:lastColumn="0" w:noHBand="0" w:noVBand="0" w:val="0000"/>
        <w:jc w:val="start"/>
        <w:tblLayout w:type="fixed"/>
      </w:tblPr>
      <w:tblGrid>
        <w:gridCol w:w="7920"/>
      </w:tblGrid>
      <w:tr>
        <w:tc>
          <w:tcPr/>
          <w:bookmarkStart w:id="107" w:name="fig-Pigm"/>
          <w:p>
            <w:pPr>
              <w:pStyle w:val="Compact"/>
              <w:jc w:val="center"/>
            </w:pPr>
            <w:r>
              <w:drawing>
                <wp:inline>
                  <wp:extent cx="3718763" cy="1660599"/>
                  <wp:effectExtent b="0" l="0" r="0" t="0"/>
                  <wp:docPr descr="" title="" id="105" name="Picture"/>
                  <a:graphic>
                    <a:graphicData uri="http://schemas.openxmlformats.org/drawingml/2006/picture">
                      <pic:pic>
                        <pic:nvPicPr>
                          <pic:cNvPr descr="./Figures/Low_res/Disc_Pigment_Table.png" id="106" name="Picture"/>
                          <pic:cNvPicPr>
                            <a:picLocks noChangeArrowheads="1" noChangeAspect="1"/>
                          </pic:cNvPicPr>
                        </pic:nvPicPr>
                        <pic:blipFill>
                          <a:blip r:embed="rId104"/>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Photosynthetic and carotenoid pigments present (Green) or absent (Red) in each taxonomic class dected by the Neural Network Classifier, along with their absorption wavelength measured with spectroradiometer. Chl b: chlorophyll b, Chl c: chlorophyll c, Fuco: fucoxanthin, Zea: zeaxanthin, Diato: diatoxanthin, Diadino: diadinoxanthin, Neo: neoxanthin., PE: phycoerythrin, PC: phycocyanin.</w:t>
            </w:r>
          </w:p>
          <w:bookmarkEnd w:id="107"/>
        </w:tc>
      </w:tr>
    </w:tbl>
    <w:bookmarkEnd w:id="108"/>
    <w:p>
      <w:pPr>
        <w:pStyle w:val="BodyText"/>
      </w:pPr>
      <w:r>
        <w:t xml:space="preserve">The primary objective of this study was to develop a method for the accurate classification of macrophytes on intertidal mudflats, specifically focusing on distinguishing between Chlorophyceae (green macroalgae) and marine Magnoliopsida (seagrasses) using multispectral drone data. The ability to differentiate between various types of vegetation, as demonstrated in this study, plays a critical role in ecological monitoring and management. By distinguishing between seagrasses and macroalgae, our approach facilitates targeted conservation strategies, enabling more effective preservation and restoration efforts in coastal ecosystems. The discrimination of seagrasses from green macroalgae presents significant challenges</w:t>
      </w:r>
      <w:r>
        <w:t xml:space="preserve"> </w:t>
      </w:r>
      <w:r>
        <w:t xml:space="preserve">(Oiry and Barillé, 2021 ; Bannari et al., 2022 ; Veettil et al., 2020)</w:t>
      </w:r>
      <w:r>
        <w:t xml:space="preserve">, primarily due to the shared pigment composition between these taxa , </w:t>
      </w:r>
      <w:hyperlink w:anchor="fig-Pigm">
        <w:r>
          <w:rPr>
            <w:rStyle w:val="Hyperlink"/>
          </w:rPr>
          <w:t xml:space="preserve">Figure 12</w:t>
        </w:r>
      </w:hyperlink>
      <w:r>
        <w:t xml:space="preserve">, but also by the frequent spatial mixing of these macrophytes. These green macrophytes have in common photosynthtic pigmetns, chlorophyll a and b, and accessory carotenoid pigments zeaxantin, lutein and neoxanthin. As a result the spectral signatures are often indistinguishable in the visible wavelength region.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using high-resolution drone imagery with 10 spectral bands.</w:t>
      </w:r>
      <w:r>
        <w:t xml:space="preserve"> </w:t>
      </w:r>
      <w:r>
        <w:t xml:space="preserve">Davies et al. (2023a)</w:t>
      </w:r>
      <w:r>
        <w:t xml:space="preserve"> </w:t>
      </w:r>
      <w:r>
        <w:t xml:space="preserve">have shown that having at least eight spectral bands ranging between 500 nm to 850 nm including a green band at 530 nm and another one in the RedEdge region at 730 nm was crucial to accurately discriminate green macrophytes.</w:t>
      </w:r>
    </w:p>
    <w:bookmarkStart w:id="113" w:name="cell-fig-ValidationGreen"/>
    <w:tbl>
      <w:tblPr>
        <w:tblStyle w:val="Table"/>
        <w:tblW w:type="pct" w:w="5000"/>
        <w:tblLook w:firstRow="0" w:lastRow="0" w:firstColumn="0" w:lastColumn="0" w:noHBand="0" w:noVBand="0" w:val="0000"/>
        <w:jc w:val="start"/>
        <w:tblLayout w:type="fixed"/>
      </w:tblPr>
      <w:tblGrid>
        <w:gridCol w:w="7920"/>
      </w:tblGrid>
      <w:tr>
        <w:tc>
          <w:tcPr/>
          <w:bookmarkStart w:id="112" w:name="fig-ValidationGreen"/>
          <w:p>
            <w:pPr>
              <w:pStyle w:val="Compact"/>
              <w:jc w:val="center"/>
            </w:pPr>
            <w:r>
              <w:drawing>
                <wp:inline>
                  <wp:extent cx="2709559" cy="1932778"/>
                  <wp:effectExtent b="0" l="0" r="0" t="0"/>
                  <wp:docPr descr="" title="" id="110" name="Picture"/>
                  <a:graphic>
                    <a:graphicData uri="http://schemas.openxmlformats.org/drawingml/2006/picture">
                      <pic:pic>
                        <pic:nvPicPr>
                          <pic:cNvPr descr="./Figures/Low_res/Validation/ConfusionMatrixGreen.png" id="111" name="Picture"/>
                          <pic:cNvPicPr>
                            <a:picLocks noChangeArrowheads="1" noChangeAspect="1"/>
                          </pic:cNvPicPr>
                        </pic:nvPicPr>
                        <pic:blipFill>
                          <a:blip r:embed="rId109"/>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12"/>
        </w:tc>
      </w:tr>
    </w:tbl>
    <w:bookmarkEnd w:id="113"/>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13</w:t>
        </w:r>
      </w:hyperlink>
      <w:r>
        <w:t xml:space="preserve">). Even if the pigment composition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and/or proportion</w:t>
      </w:r>
      <w:r>
        <w:t xml:space="preserve"> </w:t>
      </w:r>
      <w:r>
        <w:t xml:space="preserve">(Bargain et al., 2013)</w:t>
      </w:r>
      <w:r>
        <w:t xml:space="preserve">, different cellular organisation and the disposition of the plant on the sediment surface</w:t>
      </w:r>
      <w:r>
        <w:t xml:space="preserve"> </w:t>
      </w:r>
      <w:r>
        <w:t xml:space="preserve">(Beach et al., 1997 ; Kirk, 1994 ; Hedley et al., 2018)</w:t>
      </w:r>
      <w:r>
        <w:t xml:space="preserve">.</w:t>
      </w:r>
    </w:p>
    <w:p>
      <w:pPr>
        <w:pStyle w:val="BodyText"/>
      </w:pPr>
      <w:r>
        <w:t xml:space="preserve">The VIP analysis of the Neural Network model (</w:t>
      </w:r>
      <w:hyperlink w:anchor="fig-VIP">
        <w:r>
          <w:rPr>
            <w:rStyle w:val="Hyperlink"/>
          </w:rPr>
          <w:t xml:space="preserve">Figure 10</w:t>
        </w:r>
      </w:hyperlink>
      <w:r>
        <w:t xml:space="preserve">) identified that the 531 nm band as the most important spectral band for accurately identifying Chlorophyceae. In fact, at this wavelength, Chlorophyceae exhibited the highest reflectance (raw and standardised) among all other classes, highlighting the difference in accessory pigments (i.e. carotenoid)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part of the electromagnetic spectra (</w:t>
      </w:r>
      <w:hyperlink w:anchor="fig-Pigm">
        <w:r>
          <w:rPr>
            <w:rStyle w:val="Hyperlink"/>
          </w:rPr>
          <w:t xml:space="preserve">Figure 12</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10</w:t>
        </w:r>
      </w:hyperlink>
      <w:r>
        <w:t xml:space="preserve">). The band at 560 nm has been identified as important for accurately identifying this class probably in relation to the absorption by phycoerythrin (</w:t>
      </w:r>
      <w:r>
        <w:rPr>
          <w:bCs/>
          <w:b/>
        </w:rPr>
        <w:t xml:space="preserve">REF</w:t>
      </w:r>
      <w:r>
        <w:t xml:space="preserve">). Regarding Bacillariophyceae, the VIP analysis (</w:t>
      </w:r>
      <w:hyperlink w:anchor="fig-VIP">
        <w:r>
          <w:rPr>
            <w:rStyle w:val="Hyperlink"/>
          </w:rPr>
          <w:t xml:space="preserve">Figure 10</w:t>
        </w:r>
      </w:hyperlink>
      <w:r>
        <w:t xml:space="preserve">) indicated that 475 nm was the most important predictor for this class. classes. This is not a usual diagnostic wavelength for Bacillariophyceae which is mainly identified by the presence of fucoxanthin and chlorophyll c (Table 11), but it correspond to the absorption of diadinoxanthin an accessory pigment characteristic of this class</w:t>
      </w:r>
      <w:r>
        <w:t xml:space="preserve"> </w:t>
      </w:r>
      <w:r>
        <w:t xml:space="preserve">(Méléder et al., 2003)</w:t>
      </w:r>
      <w:r>
        <w:t xml:space="preserve">.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114"/>
    <w:bookmarkStart w:id="115" w:name="X17e462932d173882a468a95b44db59776e80f51"/>
    <w:p>
      <w:pPr>
        <w:pStyle w:val="Heading2"/>
      </w:pPr>
      <w:r>
        <w:t xml:space="preserve">4.2 Spectral Spatial Temporal Resolution impact on the prediction</w:t>
      </w:r>
    </w:p>
    <w:p>
      <w:pPr>
        <w:pStyle w:val="FirstParagraph"/>
      </w:pPr>
      <w:r>
        <w:t xml:space="preserve">While comparing the reflectance of both altitudes (12 m and 120 m), it was observed</w:t>
      </w:r>
      <w:r>
        <w:t xml:space="preserve"> </w:t>
      </w:r>
      <w:hyperlink w:anchor="fig-CompareRef">
        <w:r>
          <w:rPr>
            <w:rStyle w:val="Hyperlink"/>
          </w:rPr>
          <w:t xml:space="preserve">Figure 8</w:t>
        </w:r>
      </w:hyperlink>
      <w:r>
        <w:t xml:space="preserve"> </w:t>
      </w:r>
      <w:r>
        <w:t xml:space="preserve">that there is an underestimation of the infrared part of the spectra in the high-altitude dataset. 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allowed us to eliminate the slight reflectance difference between the flights (</w:t>
      </w:r>
      <w:hyperlink w:anchor="fig-CompareRef">
        <w:r>
          <w:rPr>
            <w:rStyle w:val="Hyperlink"/>
          </w:rPr>
          <w:t xml:space="preserve">Figure 8</w:t>
        </w:r>
      </w:hyperlink>
      <w:r>
        <w:t xml:space="preserve"> </w:t>
      </w:r>
      <w:r>
        <w:t xml:space="preserve">B) and to focus on the shape of the spectra in the visible part of the electromagnetic spectra, where different pigmentation are associated to taxonomic dignostic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11</w:t>
        </w:r>
      </w:hyperlink>
      <w:r>
        <w:t xml:space="preserve"> </w:t>
      </w:r>
      <w:r>
        <w:t xml:space="preserve">demonstrates that a seagrass cover percentage of 90 % is necessary for confident prediction of seagrass presence. This highlights a limitation of the methodology used to construct the training dataset for the model. The dataset was composed exclusively of pure pixels, which has resulted in the model’s reduced confidence when faced with lower percentages of seagrass cover. Intertidal seagrasses exhibit marked phenology, with varying pigment composition throughout the year</w:t>
      </w:r>
      <w:r>
        <w:t xml:space="preserve">(Bargain et al., 2013 ; Légaré et al., 2022)</w:t>
      </w:r>
      <w:r>
        <w:t xml:space="preserve">. Since the training dataset has been made using well developed seagrass meadows, outside of the biomass peak of seagrasses, this model may be less accurate. Further investigation is warranted to explore this aspect.</w:t>
      </w:r>
    </w:p>
    <w:bookmarkEnd w:id="115"/>
    <w:bookmarkStart w:id="116" w:name="application-of-the-model"/>
    <w:p>
      <w:pPr>
        <w:pStyle w:val="Heading2"/>
      </w:pPr>
      <w:r>
        <w:t xml:space="preserve">4.3 Application of the model</w:t>
      </w:r>
    </w:p>
    <w:p>
      <w:pPr>
        <w:pStyle w:val="FirstParagraph"/>
      </w:pPr>
      <w:r>
        <w:t xml:space="preserve">Climate change, global warming, alien and invasive species development, coastal erosion, sealevel rise, will continue to impact coastal ecosystems in the future</w:t>
      </w:r>
      <w:r>
        <w:t xml:space="preserve"> </w:t>
      </w:r>
      <w:r>
        <w:t xml:space="preserve">(Holon et al., 2018 ; Marquet et al., 2024; Schibalski et al., 2022)</w:t>
      </w:r>
      <w:r>
        <w:t xml:space="preserve">. Therefore the demand for meaningful and efficient monitoring methods for these habitats has never been greater</w:t>
      </w:r>
      <w:r>
        <w:t xml:space="preserve"> </w:t>
      </w:r>
      <w:r>
        <w:t xml:space="preserve">(Muller-Karger et al., 2018 ; Villalobos Perna et al., 2023 ; Oiry and Barillé, 2021)</w:t>
      </w:r>
      <w:r>
        <w:t xml:space="preserve">. Our findings, particularly the improved discrimination of seagrass from other intertidal vegetation taxonomic classes, underscore the potential of drone-based remote sensing to support diverse applications, from biodiversity conservation to climate change adaptation strategies. Employing traditional sampling methods to monitor these ecosystems is time and resource-intensive, and the findings are often difficult to up-scale. Earth observation methods can bridge this gap and meet the needs for monitoring coastal ecosystems.</w:t>
      </w:r>
      <w:r>
        <w:t xml:space="preserve"> </w:t>
      </w:r>
      <w:r>
        <w:t xml:space="preserve">(Papathanasopoulou et al., 2019)</w:t>
      </w:r>
      <w:r>
        <w:t xml:space="preserve">. The retrieval of Essential Biodiversity Variables (EBVs) and Essential Ocean Variables (EOVs) through satellite observations is increasingly common, enabling comprehensive monitoring of entire ecosystems over extended time periods</w:t>
      </w:r>
      <w:r>
        <w:t xml:space="preserve"> </w:t>
      </w:r>
      <w:r>
        <w:t xml:space="preserve">(Ratnarajah et al., 2023 ; Zoffoli et al., 2020)</w:t>
      </w:r>
      <w:r>
        <w:t xml:space="preserve">. The significance of monitoring the coastal environment, particularly in light of the Water Framework Directive (WFD ;</w:t>
      </w:r>
      <w:r>
        <w:t xml:space="preserve"> </w:t>
      </w:r>
      <w:r>
        <w:t xml:space="preserve">(European-Commission, 2000)</w:t>
      </w:r>
      <w:r>
        <w:t xml:space="preserve">), cannot be overstated in environmental management and conservation efforts. The WFD 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and, flight on demand, provide a novel and powerful means to rapidly and accurately acquire ground truth data (i.e. output of the model used in the present study). These data are critical for calibrating and validating satellite remote sensing applications, thereby enhancing our capacity to monitor vast coastal areas systematically under the WFD framework. A perspective of this work could be to aid algorithm applied to satellite imagery (e.g. Sentinel-2) to see of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conservation and restoration of aquatic ecosystems.</w:t>
      </w:r>
    </w:p>
    <w:bookmarkEnd w:id="116"/>
    <w:bookmarkEnd w:id="117"/>
    <w:bookmarkStart w:id="200" w:name="conclusion"/>
    <w:p>
      <w:pPr>
        <w:pStyle w:val="Heading1"/>
      </w:pPr>
      <w:r>
        <w:t xml:space="preserve">5. Conclusion</w:t>
      </w:r>
    </w:p>
    <w:p>
      <w:pPr>
        <w:pStyle w:val="FirstParagraph"/>
      </w:pPr>
      <w:r>
        <w:t xml:space="preserve">The utilization of very high-resolution drone-based remote sensing coupled with machine learning techniques has proven to be an effective method for the discrimination of seagrasses from green macroalgae with a multispectral resolution sensor. Standardized reflectance were incorporated in the Neural Network model allowing for a better discrimination of spectral features related to pigment absorption in the visible. There was a striking difference for the variable of importance to discriminate Magnoliopsida from Chlorophyceae. The latter was essentially identify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macrophytes. The algorithm could be adapted to Sentinel-2 with all the drone data from this study that can be used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199" w:name="refs"/>
    <w:bookmarkStart w:id="118" w:name="ref-adade2021"/>
    <w:p>
      <w:pPr>
        <w:pStyle w:val="Bibliography"/>
      </w:pPr>
      <w:r>
        <w:t xml:space="preserve">Adade, R., Aibinu, A.M., Ekumah, B., Asaana, J., 2021. Unmanned aerial vehicle (UAV) applications in coastal zone management—a review. Environmental Monitoring and Assessment 193, 1–12.</w:t>
      </w:r>
    </w:p>
    <w:bookmarkEnd w:id="118"/>
    <w:bookmarkStart w:id="119"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19"/>
    <w:bookmarkStart w:id="120"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20"/>
    <w:bookmarkStart w:id="121"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21"/>
    <w:bookmarkStart w:id="122" w:name="ref-beach1997vivo"/>
    <w:p>
      <w:pPr>
        <w:pStyle w:val="Bibliography"/>
      </w:pPr>
      <w:r>
        <w:t xml:space="preserve">Beach, K., Borgeas, H., Nishimura, N., Smith, C., 1997. In vivo absorbance spectra and the ecophysiology of reef macroalgae. Coral Reefs 16, 21–28.</w:t>
      </w:r>
    </w:p>
    <w:bookmarkEnd w:id="122"/>
    <w:bookmarkStart w:id="124"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23">
        <w:r>
          <w:rPr>
            <w:rStyle w:val="Hyperlink"/>
          </w:rPr>
          <w:t xml:space="preserve">https://doi.org/10.3390/RS14020307</w:t>
        </w:r>
      </w:hyperlink>
    </w:p>
    <w:bookmarkEnd w:id="124"/>
    <w:bookmarkStart w:id="126"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25">
        <w:r>
          <w:rPr>
            <w:rStyle w:val="Hyperlink"/>
          </w:rPr>
          <w:t xml:space="preserve">https://doi.org/10.1139/cjfas-2016-0137</w:t>
        </w:r>
      </w:hyperlink>
    </w:p>
    <w:bookmarkEnd w:id="126"/>
    <w:bookmarkStart w:id="127" w:name="ref-casella2020"/>
    <w:p>
      <w:pPr>
        <w:pStyle w:val="Bibliography"/>
      </w:pPr>
      <w:r>
        <w:t xml:space="preserve">Casella, E., Drechsel, J., Winter, C., Benninghoff, M., Rovere, A., 2020. Accuracy of sand beach topography surveying by drones and photogrammetry. Geo-Marine Letters 40, 255–268.</w:t>
      </w:r>
    </w:p>
    <w:bookmarkEnd w:id="127"/>
    <w:bookmarkStart w:id="128"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28"/>
    <w:bookmarkStart w:id="129" w:name="ref-chefaoui2018dramatic"/>
    <w:p>
      <w:pPr>
        <w:pStyle w:val="Bibliography"/>
      </w:pPr>
      <w:r>
        <w:t xml:space="preserve">Chefaoui, R.M., Duarte, C.M., Serrão, E.A., 2018. Dramatic loss of seagrass habitat under projected climate change in the mediterranean sea. Global change biology 24, 4919–4928.</w:t>
      </w:r>
    </w:p>
    <w:bookmarkEnd w:id="129"/>
    <w:bookmarkStart w:id="130"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30"/>
    <w:bookmarkStart w:id="131" w:name="ref-collin2019improving"/>
    <w:p>
      <w:pPr>
        <w:pStyle w:val="Bibliography"/>
      </w:pPr>
      <w:r>
        <w:t xml:space="preserve">Collin, A., Dubois, S., James, D., Houet, T., 2019. Improving intertidal reef mapping using UAV surface, red edge, and near-infrared data. Drones 3, 67.</w:t>
      </w:r>
    </w:p>
    <w:bookmarkEnd w:id="131"/>
    <w:bookmarkStart w:id="133"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32">
        <w:r>
          <w:rPr>
            <w:rStyle w:val="Hyperlink"/>
          </w:rPr>
          <w:t xml:space="preserve">https://doi.org/10.1016/j.ecolind.2020.107018</w:t>
        </w:r>
      </w:hyperlink>
    </w:p>
    <w:bookmarkEnd w:id="133"/>
    <w:bookmarkStart w:id="135"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34">
        <w:r>
          <w:rPr>
            <w:rStyle w:val="Hyperlink"/>
          </w:rPr>
          <w:t xml:space="preserve">https://doi.org/10.1016/j.rse.2023.113554</w:t>
        </w:r>
      </w:hyperlink>
    </w:p>
    <w:bookmarkEnd w:id="135"/>
    <w:bookmarkStart w:id="137" w:name="ref-BedeGbif"/>
    <w:p>
      <w:pPr>
        <w:pStyle w:val="Bibliography"/>
      </w:pPr>
      <w:r>
        <w:t xml:space="preserve">Davies, B.F.R., Sousa, A.I., Figueira, R., Oiry, S., Gernez, P., Barillé, L., 2023b. Benthic intertidal vegetation from the tagus estuary and aveiro lagoon.</w:t>
      </w:r>
      <w:r>
        <w:t xml:space="preserve"> </w:t>
      </w:r>
      <w:hyperlink r:id="rId136">
        <w:r>
          <w:rPr>
            <w:rStyle w:val="Hyperlink"/>
          </w:rPr>
          <w:t xml:space="preserve">https://doi.org/10.15468/n4ak6x</w:t>
        </w:r>
      </w:hyperlink>
    </w:p>
    <w:bookmarkEnd w:id="137"/>
    <w:bookmarkStart w:id="138" w:name="ref-devlin2023nutrients"/>
    <w:p>
      <w:pPr>
        <w:pStyle w:val="Bibliography"/>
      </w:pPr>
      <w:r>
        <w:t xml:space="preserve">Devlin, M., Brodie, J., 2023. Nutrients and eutrophication, in: Marine Pollution–Monitoring, Management and Mitigation. Springer, pp. 75–100.</w:t>
      </w:r>
    </w:p>
    <w:bookmarkEnd w:id="138"/>
    <w:bookmarkStart w:id="140" w:name="ref-Douay2022"/>
    <w:p>
      <w:pPr>
        <w:pStyle w:val="Bibliography"/>
      </w:pPr>
      <w:r>
        <w:t xml:space="preserve">Douay, F., Verpoorter, C., Duong, G., Spilmont, N., Gevaert, F., 2022. New hyperspectral procedure to discriminate intertidal macroalgae. Remote Sensing 14.</w:t>
      </w:r>
      <w:r>
        <w:t xml:space="preserve"> </w:t>
      </w:r>
      <w:hyperlink r:id="rId139">
        <w:r>
          <w:rPr>
            <w:rStyle w:val="Hyperlink"/>
          </w:rPr>
          <w:t xml:space="preserve">https://doi.org/10.3390/rs14020346</w:t>
        </w:r>
      </w:hyperlink>
    </w:p>
    <w:bookmarkEnd w:id="140"/>
    <w:bookmarkStart w:id="141"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41"/>
    <w:bookmarkStart w:id="142"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42"/>
    <w:bookmarkStart w:id="143"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43"/>
    <w:bookmarkStart w:id="144" w:name="ref-foden2007angiosperms"/>
    <w:p>
      <w:pPr>
        <w:pStyle w:val="Bibliography"/>
      </w:pPr>
      <w:r>
        <w:t xml:space="preserve">Foden, J., Brazier, D., 2007. Angiosperms (seagrass) within the EU water framework directive: A UK perspective. Marine Pollution Bulletin 55, 181–195.</w:t>
      </w:r>
    </w:p>
    <w:bookmarkEnd w:id="144"/>
    <w:bookmarkStart w:id="145" w:name="ref-fyfe2003spatial"/>
    <w:p>
      <w:pPr>
        <w:pStyle w:val="Bibliography"/>
      </w:pPr>
      <w:r>
        <w:t xml:space="preserve">Fyfe, S., 2003. Spatial and temporal variation in spectral reflectance: Are seagrass species spectrally distinct? Limnology and Oceanography 48, 464–479.</w:t>
      </w:r>
    </w:p>
    <w:bookmarkEnd w:id="145"/>
    <w:bookmarkStart w:id="146" w:name="ref-gardner2018"/>
    <w:p>
      <w:pPr>
        <w:pStyle w:val="Bibliography"/>
      </w:pPr>
      <w:r>
        <w:t xml:space="preserve">Gardner, R.C., Finlayson, C., 2018. Global wetland outlook: State of the world’s wetlands and their services to people. Stetson Law.</w:t>
      </w:r>
    </w:p>
    <w:bookmarkEnd w:id="146"/>
    <w:bookmarkStart w:id="147"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47"/>
    <w:bookmarkStart w:id="148"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48"/>
    <w:bookmarkStart w:id="149"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49"/>
    <w:bookmarkStart w:id="150" w:name="ref-joyce2023"/>
    <w:p>
      <w:pPr>
        <w:pStyle w:val="Bibliography"/>
      </w:pPr>
      <w:r>
        <w:t xml:space="preserve">Joyce, K.E., Fickas, K.C., Kalamandeen, M., 2023. The unique value proposition for using drones to map coastal ecosystems. Cambridge Prisms: Coastal Futures 1, e6.</w:t>
      </w:r>
    </w:p>
    <w:bookmarkEnd w:id="150"/>
    <w:bookmarkStart w:id="151" w:name="ref-kirk1994light"/>
    <w:p>
      <w:pPr>
        <w:pStyle w:val="Bibliography"/>
      </w:pPr>
      <w:r>
        <w:t xml:space="preserve">Kirk, J.T., 1994. Light and photosynthesis in aquatic ecosystems. Cambridge university press.</w:t>
      </w:r>
    </w:p>
    <w:bookmarkEnd w:id="151"/>
    <w:bookmarkStart w:id="152"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52"/>
    <w:bookmarkStart w:id="153"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53"/>
    <w:bookmarkStart w:id="154"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54"/>
    <w:bookmarkStart w:id="155"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55"/>
    <w:bookmarkStart w:id="156"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156"/>
    <w:bookmarkStart w:id="158"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57">
        <w:r>
          <w:rPr>
            <w:rStyle w:val="Hyperlink"/>
          </w:rPr>
          <w:t xml:space="preserve">https://doi.org/10.1111/GCB.14108</w:t>
        </w:r>
      </w:hyperlink>
    </w:p>
    <w:bookmarkEnd w:id="158"/>
    <w:bookmarkStart w:id="159"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59"/>
    <w:bookmarkStart w:id="160" w:name="ref-nguyen2021"/>
    <w:p>
      <w:pPr>
        <w:pStyle w:val="Bibliography"/>
      </w:pPr>
      <w:r>
        <w:t xml:space="preserve">Nguyen, H.M., Ralph, P.J., Marı́n-Guirao, L., Pernice, M., Procaccini, G., 2021. Seagrasses in an era of ocean warming: A review. Biological Reviews 96, 2009–2030.</w:t>
      </w:r>
    </w:p>
    <w:bookmarkEnd w:id="160"/>
    <w:bookmarkStart w:id="161"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61"/>
    <w:bookmarkStart w:id="162"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62"/>
    <w:bookmarkStart w:id="163" w:name="ref-oh2017use"/>
    <w:p>
      <w:pPr>
        <w:pStyle w:val="Bibliography"/>
      </w:pPr>
      <w:r>
        <w:t xml:space="preserve">Oh, J., Kim, D., Lee, H., 2017. Use of a drone for mapping and time series image acquisition of tidal zones. Journal of the Korean Institute of Intelligent Systems 27, 119–125.</w:t>
      </w:r>
    </w:p>
    <w:bookmarkEnd w:id="163"/>
    <w:bookmarkStart w:id="164" w:name="ref-oiry2021using"/>
    <w:p>
      <w:pPr>
        <w:pStyle w:val="Bibliography"/>
      </w:pPr>
      <w:r>
        <w:t xml:space="preserve">Oiry, S., Barillé, L., 2021. Using sentinel-2 satellite imagery to develop microphytobenthos-based water quality indices in estuaries. Ecological Indicators 121, 107184.</w:t>
      </w:r>
    </w:p>
    <w:bookmarkEnd w:id="164"/>
    <w:bookmarkStart w:id="165"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65"/>
    <w:bookmarkStart w:id="166"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66"/>
    <w:bookmarkStart w:id="167" w:name="ref-Pereira2013"/>
    <w:p>
      <w:pPr>
        <w:pStyle w:val="Bibliography"/>
      </w:pPr>
      <w:r>
        <w:t xml:space="preserve">Pereira, H.M., Ferrier, S., Walters, M., Geller, G.N., Jongman, R.H., Scholes, R.J., Bruford, M.W., Brummitt, N., Butchart, S.H., Cardoso, A., others, 2013. Essential biodiversity variables. Science 339, 277–278.</w:t>
      </w:r>
    </w:p>
    <w:bookmarkEnd w:id="167"/>
    <w:bookmarkStart w:id="168"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68"/>
    <w:bookmarkStart w:id="169"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69"/>
    <w:bookmarkStart w:id="170" w:name="ref-rasheed2011long"/>
    <w:p>
      <w:pPr>
        <w:pStyle w:val="Bibliography"/>
      </w:pPr>
      <w:r>
        <w:t xml:space="preserve">Rasheed, M.A., Unsworth, R.K., 2011. Long-term climate-associated dynamics of a tropical seagrass meadow: Implications for the future. Marine Ecology Progress Series 422, 93–103.</w:t>
      </w:r>
    </w:p>
    <w:bookmarkEnd w:id="170"/>
    <w:bookmarkStart w:id="171"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71"/>
    <w:bookmarkStart w:id="172"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72"/>
    <w:bookmarkStart w:id="174"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73">
        <w:r>
          <w:rPr>
            <w:rStyle w:val="Hyperlink"/>
          </w:rPr>
          <w:t xml:space="preserve">https://doi.org/10.3389/fmars.2022.1004012</w:t>
        </w:r>
      </w:hyperlink>
    </w:p>
    <w:bookmarkEnd w:id="174"/>
    <w:bookmarkStart w:id="175" w:name="ref-Roman2021"/>
    <w:p>
      <w:pPr>
        <w:pStyle w:val="Bibliography"/>
      </w:pPr>
      <w:r>
        <w:t xml:space="preserve">Román, A., Tovar-Sánchez, A., Olivé, I., Navarro, G., 2021. Using a UAV-mounted multispectral camera for the monitoring of marine macrophytes. Frontiers in Marine Science 1225.</w:t>
      </w:r>
    </w:p>
    <w:bookmarkEnd w:id="175"/>
    <w:bookmarkStart w:id="176" w:name="ref-rossiter2020uav"/>
    <w:p>
      <w:pPr>
        <w:pStyle w:val="Bibliography"/>
      </w:pPr>
      <w:r>
        <w:t xml:space="preserve">Rossiter, T., Furey, T., McCarthy, T., Stengel, D.B., 2020. UAV-mounted hyperspectral mapping of intertidal macroalgae. Estuarine, Coastal and Shelf Science 242, 106789.</w:t>
      </w:r>
    </w:p>
    <w:bookmarkEnd w:id="176"/>
    <w:bookmarkStart w:id="178"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77">
        <w:r>
          <w:rPr>
            <w:rStyle w:val="Hyperlink"/>
          </w:rPr>
          <w:t xml:space="preserve">https://doi.org/10.1016/j.ecoser.2022.101414</w:t>
        </w:r>
      </w:hyperlink>
    </w:p>
    <w:bookmarkEnd w:id="178"/>
    <w:bookmarkStart w:id="180" w:name="ref-Slaton2001"/>
    <w:p>
      <w:pPr>
        <w:pStyle w:val="Bibliography"/>
      </w:pPr>
      <w:r>
        <w:t xml:space="preserve">Slaton, M.R., Raymond Hunt Jr., E., Smith, W.K., 2001. Estimating near-infrared leaf reflectance from leaf structural characteristics. American Journal of Botany 88, 278–284. https://doi.org/</w:t>
      </w:r>
      <w:hyperlink r:id="rId179">
        <w:r>
          <w:rPr>
            <w:rStyle w:val="Hyperlink"/>
          </w:rPr>
          <w:t xml:space="preserve">https://doi.org/10.2307/2657019</w:t>
        </w:r>
      </w:hyperlink>
    </w:p>
    <w:bookmarkEnd w:id="180"/>
    <w:bookmarkStart w:id="181"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81"/>
    <w:bookmarkStart w:id="182"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82"/>
    <w:bookmarkStart w:id="184" w:name="ref-Traganos2018"/>
    <w:p>
      <w:pPr>
        <w:pStyle w:val="Bibliography"/>
      </w:pPr>
      <w:r>
        <w:t xml:space="preserve">Traganos, D., Reinartz, P., 2018. Mapping mediterranean seagrasses with sentinel-2 imagery. Marine Pollution Bulletin 134, 197–209.</w:t>
      </w:r>
      <w:r>
        <w:t xml:space="preserve"> </w:t>
      </w:r>
      <w:hyperlink r:id="rId183">
        <w:r>
          <w:rPr>
            <w:rStyle w:val="Hyperlink"/>
          </w:rPr>
          <w:t xml:space="preserve">https://doi.org/10.1016/j.marpolbul.2017.06.075</w:t>
        </w:r>
      </w:hyperlink>
    </w:p>
    <w:bookmarkEnd w:id="184"/>
    <w:bookmarkStart w:id="185"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85"/>
    <w:bookmarkStart w:id="186" w:name="ref-unsworth2022"/>
    <w:p>
      <w:pPr>
        <w:pStyle w:val="Bibliography"/>
      </w:pPr>
      <w:r>
        <w:t xml:space="preserve">Unsworth, R.K., Cullen-Unsworth, L.C., Jones, B.L., Lilley, R.J., 2022. The planetary role of seagrass conservation. Science 377, 609–613.</w:t>
      </w:r>
    </w:p>
    <w:bookmarkEnd w:id="186"/>
    <w:bookmarkStart w:id="187"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187"/>
    <w:bookmarkStart w:id="188"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88"/>
    <w:bookmarkStart w:id="189" w:name="ref-wang2022"/>
    <w:p>
      <w:pPr>
        <w:pStyle w:val="Bibliography"/>
      </w:pPr>
      <w:r>
        <w:t xml:space="preserve">Wang, Z., Fang, Z., Liang, J., Song, X., 2022. Assessment of global habitat suitability and risk of ocean green tides. Harmful Algae 119, 102324.</w:t>
      </w:r>
    </w:p>
    <w:bookmarkEnd w:id="189"/>
    <w:bookmarkStart w:id="191" w:name="ref-WEI2015399"/>
    <w:p>
      <w:pPr>
        <w:pStyle w:val="Bibliography"/>
      </w:pPr>
      <w:r>
        <w:t xml:space="preserve">Wei, P., Lu, Z., Song, J., 2015. Variable importance analysis: A comprehensive review. Reliability Engineering and System Safety 142, 399–432. https://doi.org/</w:t>
      </w:r>
      <w:hyperlink r:id="rId190">
        <w:r>
          <w:rPr>
            <w:rStyle w:val="Hyperlink"/>
          </w:rPr>
          <w:t xml:space="preserve">https://doi.org/10.1016/j.ress.2015.05.018</w:t>
        </w:r>
      </w:hyperlink>
    </w:p>
    <w:bookmarkEnd w:id="191"/>
    <w:bookmarkStart w:id="192"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92"/>
    <w:bookmarkStart w:id="194"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93">
        <w:r>
          <w:rPr>
            <w:rStyle w:val="Hyperlink"/>
          </w:rPr>
          <w:t xml:space="preserve">https://doi.org/10.1016/j.ecolind.2021.108033</w:t>
        </w:r>
      </w:hyperlink>
    </w:p>
    <w:bookmarkEnd w:id="194"/>
    <w:bookmarkStart w:id="196"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95">
        <w:r>
          <w:rPr>
            <w:rStyle w:val="Hyperlink"/>
          </w:rPr>
          <w:t xml:space="preserve">https://doi.org/10.1002/rse2.319</w:t>
        </w:r>
      </w:hyperlink>
    </w:p>
    <w:bookmarkEnd w:id="196"/>
    <w:bookmarkStart w:id="198"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197">
        <w:r>
          <w:rPr>
            <w:rStyle w:val="Hyperlink"/>
          </w:rPr>
          <w:t xml:space="preserve">https://doi.org/10.1016/j.rse.2020.112020</w:t>
        </w:r>
      </w:hyperlink>
    </w:p>
    <w:bookmarkEnd w:id="198"/>
    <w:bookmarkEnd w:id="199"/>
    <w:bookmarkEnd w:id="2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104" Target="media/rId104.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image" Id="rId32" Target="media/rId32.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hyperlink" Id="rId195"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193" Target="https://doi.org/10.1016/j.ecolind.2021.108033" TargetMode="External" /><Relationship Type="http://schemas.openxmlformats.org/officeDocument/2006/relationships/hyperlink" Id="rId177" Target="https://doi.org/10.1016/j.ecoser.2022.101414" TargetMode="External" /><Relationship Type="http://schemas.openxmlformats.org/officeDocument/2006/relationships/hyperlink" Id="rId183" Target="https://doi.org/10.1016/j.marpolbul.2017.06.075" TargetMode="External" /><Relationship Type="http://schemas.openxmlformats.org/officeDocument/2006/relationships/hyperlink" Id="rId190" Target="https://doi.org/10.1016/j.ress.2015.05.018" TargetMode="External" /><Relationship Type="http://schemas.openxmlformats.org/officeDocument/2006/relationships/hyperlink" Id="rId197" Target="https://doi.org/10.1016/j.rse.2020.112020" TargetMode="External" /><Relationship Type="http://schemas.openxmlformats.org/officeDocument/2006/relationships/hyperlink" Id="rId134" Target="https://doi.org/10.1016/j.rse.2023.113554" TargetMode="External" /><Relationship Type="http://schemas.openxmlformats.org/officeDocument/2006/relationships/hyperlink" Id="rId157"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79" Target="https://doi.org/10.2307/2657019" TargetMode="External" /><Relationship Type="http://schemas.openxmlformats.org/officeDocument/2006/relationships/hyperlink" Id="rId173"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39"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95"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193" Target="https://doi.org/10.1016/j.ecolind.2021.108033" TargetMode="External" /><Relationship Type="http://schemas.openxmlformats.org/officeDocument/2006/relationships/hyperlink" Id="rId177" Target="https://doi.org/10.1016/j.ecoser.2022.101414" TargetMode="External" /><Relationship Type="http://schemas.openxmlformats.org/officeDocument/2006/relationships/hyperlink" Id="rId183" Target="https://doi.org/10.1016/j.marpolbul.2017.06.075" TargetMode="External" /><Relationship Type="http://schemas.openxmlformats.org/officeDocument/2006/relationships/hyperlink" Id="rId190" Target="https://doi.org/10.1016/j.ress.2015.05.018" TargetMode="External" /><Relationship Type="http://schemas.openxmlformats.org/officeDocument/2006/relationships/hyperlink" Id="rId197" Target="https://doi.org/10.1016/j.rse.2020.112020" TargetMode="External" /><Relationship Type="http://schemas.openxmlformats.org/officeDocument/2006/relationships/hyperlink" Id="rId134" Target="https://doi.org/10.1016/j.rse.2023.113554" TargetMode="External" /><Relationship Type="http://schemas.openxmlformats.org/officeDocument/2006/relationships/hyperlink" Id="rId157"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79" Target="https://doi.org/10.2307/2657019" TargetMode="External" /><Relationship Type="http://schemas.openxmlformats.org/officeDocument/2006/relationships/hyperlink" Id="rId173"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39"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2024-03-12T15:02:02Z</dcterms:created>
  <dcterms:modified xsi:type="dcterms:W3CDTF">2024-03-12T15:02:02Z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and reduce the issue of mlixed pixel, drone images at a very high spatial resolution offer a promising solution. This study focuses on using drone acquisitions with a ten spectral band sensor mirroring those of Sentinel-2, for mapping intertidal macrophytes and effectively discriminating between seagrass and green macroalgae. Nine drone flights were conducted at two different altitudes (12m and 120m) across heterogeneous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Bacillariophyceae (Diatoms). Classification of drone imagery resulted in an overall accuracy of 94% across all the sites and images, covering a total area of 467 000 m². The model exhibited an accuracy of 96.4% in identifying seagrass. This work showed that although they share the same pigmentary composition, seagrass and green algae can be discriminated using ten bands multispectral sensor. The algorithm should now be adapted for Sentinel-2 to see if this discrimination is still operational at a coarser spatial resolution.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2024-03-12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